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6"/>
        <w:spacing w:line="280" w:lineRule="exact"/>
        <w:rPr>
          <w:rFonts w:ascii="微软雅黑" w:eastAsia="微软雅黑" w:hAnsi="微软雅黑" w:hint="default"/>
          <w:sz w:val="24"/>
          <w:szCs w:val="24"/>
        </w:rPr>
      </w:pPr>
      <w:r w:rsidRPr="00F10D92">
        <w:rPr>
          <w:rFonts w:ascii="微软雅黑" w:eastAsia="微软雅黑" w:hAnsi="微软雅黑"/>
          <w:sz w:val="24"/>
          <w:szCs w:val="24"/>
        </w:rPr>
        <w:t>中华人民共和国最高人民法院</w:t>
      </w:r>
    </w:p>
    <w:p w:rsidR="00C504EF" w:rsidRPr="00F10D92" w:rsidRDefault="00102F07" w:rsidP="00F10D92">
      <w:pPr>
        <w:pStyle w:val="a6"/>
        <w:spacing w:line="280" w:lineRule="exact"/>
        <w:rPr>
          <w:rFonts w:ascii="微软雅黑" w:eastAsia="微软雅黑" w:hAnsi="微软雅黑" w:hint="default"/>
          <w:sz w:val="24"/>
          <w:szCs w:val="24"/>
        </w:rPr>
      </w:pPr>
      <w:r w:rsidRPr="00F10D92">
        <w:rPr>
          <w:rFonts w:ascii="微软雅黑" w:eastAsia="微软雅黑" w:hAnsi="微软雅黑"/>
          <w:sz w:val="24"/>
          <w:szCs w:val="24"/>
        </w:rPr>
        <w:t>公    告</w:t>
      </w:r>
    </w:p>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b"/>
        <w:spacing w:line="280" w:lineRule="exact"/>
        <w:ind w:firstLine="480"/>
        <w:rPr>
          <w:rFonts w:ascii="微软雅黑" w:eastAsia="微软雅黑" w:hAnsi="微软雅黑"/>
          <w:sz w:val="24"/>
          <w:szCs w:val="24"/>
        </w:rPr>
      </w:pPr>
      <w:r w:rsidRPr="00F10D92">
        <w:rPr>
          <w:rFonts w:ascii="微软雅黑" w:eastAsia="微软雅黑" w:hAnsi="微软雅黑" w:hint="eastAsia"/>
          <w:sz w:val="24"/>
          <w:szCs w:val="24"/>
        </w:rPr>
        <w:t>最高人民法院《关于审理行政许可案件若干问题的规定》已于2009年11月9日由最高人民法院审判委员会第1476次会议通过，现予公布，自2010年1月4日起施行。</w:t>
      </w:r>
    </w:p>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9"/>
        <w:spacing w:line="280" w:lineRule="exact"/>
        <w:rPr>
          <w:rFonts w:ascii="微软雅黑" w:eastAsia="微软雅黑" w:hAnsi="微软雅黑" w:cs="宋体"/>
          <w:sz w:val="24"/>
          <w:szCs w:val="24"/>
        </w:rPr>
      </w:pPr>
      <w:r w:rsidRPr="00F10D92">
        <w:rPr>
          <w:rFonts w:ascii="微软雅黑" w:eastAsia="微软雅黑" w:hAnsi="微软雅黑" w:hint="eastAsia"/>
          <w:sz w:val="24"/>
          <w:szCs w:val="24"/>
        </w:rPr>
        <w:t>2009年12月14日</w:t>
      </w:r>
    </w:p>
    <w:p w:rsidR="00C504EF" w:rsidRDefault="00C504EF" w:rsidP="00F10D92">
      <w:pPr>
        <w:pStyle w:val="ab"/>
        <w:spacing w:line="280" w:lineRule="exact"/>
        <w:ind w:firstLine="480"/>
        <w:rPr>
          <w:rFonts w:ascii="微软雅黑" w:eastAsia="微软雅黑" w:hAnsi="微软雅黑" w:cs="宋体"/>
          <w:sz w:val="24"/>
          <w:szCs w:val="24"/>
        </w:rPr>
      </w:pPr>
    </w:p>
    <w:p w:rsidR="00162FF3" w:rsidRDefault="00162FF3" w:rsidP="00F10D92">
      <w:pPr>
        <w:pStyle w:val="ab"/>
        <w:spacing w:line="280" w:lineRule="exact"/>
        <w:ind w:firstLine="480"/>
        <w:rPr>
          <w:rFonts w:ascii="微软雅黑" w:eastAsia="微软雅黑" w:hAnsi="微软雅黑" w:cs="宋体"/>
          <w:sz w:val="24"/>
          <w:szCs w:val="24"/>
        </w:rPr>
      </w:pPr>
    </w:p>
    <w:p w:rsidR="00162FF3" w:rsidRPr="00F10D92" w:rsidRDefault="00162FF3"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6"/>
        <w:spacing w:line="600" w:lineRule="exact"/>
        <w:rPr>
          <w:rFonts w:ascii="微软雅黑" w:eastAsia="微软雅黑" w:hAnsi="微软雅黑" w:hint="default"/>
          <w:b/>
          <w:bCs/>
          <w:color w:val="7030A0"/>
          <w:sz w:val="40"/>
          <w:szCs w:val="40"/>
        </w:rPr>
      </w:pPr>
      <w:r w:rsidRPr="00F10D92">
        <w:rPr>
          <w:rFonts w:ascii="微软雅黑" w:eastAsia="微软雅黑" w:hAnsi="微软雅黑"/>
          <w:b/>
          <w:bCs/>
          <w:color w:val="7030A0"/>
          <w:sz w:val="40"/>
          <w:szCs w:val="40"/>
        </w:rPr>
        <w:t>最高人民法院</w:t>
      </w:r>
    </w:p>
    <w:p w:rsidR="00C504EF" w:rsidRPr="00F10D92" w:rsidRDefault="00102F07" w:rsidP="00F10D92">
      <w:pPr>
        <w:pStyle w:val="a6"/>
        <w:spacing w:line="600" w:lineRule="exact"/>
        <w:rPr>
          <w:rFonts w:ascii="微软雅黑" w:eastAsia="微软雅黑" w:hAnsi="微软雅黑" w:hint="default"/>
          <w:b/>
          <w:bCs/>
          <w:color w:val="7030A0"/>
          <w:sz w:val="40"/>
          <w:szCs w:val="40"/>
        </w:rPr>
      </w:pPr>
      <w:r w:rsidRPr="00F10D92">
        <w:rPr>
          <w:rFonts w:ascii="微软雅黑" w:eastAsia="微软雅黑" w:hAnsi="微软雅黑"/>
          <w:b/>
          <w:bCs/>
          <w:color w:val="7030A0"/>
          <w:sz w:val="40"/>
          <w:szCs w:val="40"/>
        </w:rPr>
        <w:t>关于审理行政许可案件若干问题的规定</w:t>
      </w:r>
    </w:p>
    <w:p w:rsidR="00C504EF" w:rsidRDefault="00C504EF" w:rsidP="00F10D92">
      <w:pPr>
        <w:pStyle w:val="ab"/>
        <w:spacing w:line="280" w:lineRule="exact"/>
        <w:ind w:firstLine="480"/>
        <w:rPr>
          <w:rFonts w:ascii="微软雅黑" w:eastAsia="微软雅黑" w:hAnsi="微软雅黑" w:cs="宋体"/>
          <w:sz w:val="24"/>
          <w:szCs w:val="24"/>
        </w:rPr>
      </w:pPr>
    </w:p>
    <w:p w:rsidR="00F10D92" w:rsidRDefault="00F10D92" w:rsidP="00F10D92">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010-01-04</w:t>
      </w:r>
    </w:p>
    <w:p w:rsidR="00F10D92" w:rsidRPr="00F10D92" w:rsidRDefault="00F10D92"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f2"/>
        <w:spacing w:line="280" w:lineRule="exact"/>
        <w:rPr>
          <w:rFonts w:ascii="微软雅黑" w:eastAsia="微软雅黑" w:hAnsi="微软雅黑"/>
          <w:sz w:val="24"/>
          <w:szCs w:val="24"/>
        </w:rPr>
      </w:pPr>
      <w:r w:rsidRPr="00F10D92">
        <w:rPr>
          <w:rFonts w:ascii="微软雅黑" w:eastAsia="微软雅黑" w:hAnsi="微软雅黑"/>
          <w:sz w:val="24"/>
          <w:szCs w:val="24"/>
        </w:rPr>
        <w:t>法释〔2009〕20号</w:t>
      </w:r>
    </w:p>
    <w:p w:rsidR="00C504EF" w:rsidRPr="00F10D92" w:rsidRDefault="00C504EF" w:rsidP="00F10D92">
      <w:pPr>
        <w:pStyle w:val="ab"/>
        <w:spacing w:line="280" w:lineRule="exact"/>
        <w:ind w:firstLine="480"/>
        <w:rPr>
          <w:rFonts w:ascii="微软雅黑" w:eastAsia="微软雅黑" w:hAnsi="微软雅黑" w:cs="宋体"/>
          <w:sz w:val="24"/>
          <w:szCs w:val="24"/>
        </w:rPr>
      </w:pPr>
    </w:p>
    <w:p w:rsidR="00C504EF" w:rsidRPr="00F10D92" w:rsidRDefault="00102F07" w:rsidP="00F10D92">
      <w:pPr>
        <w:pStyle w:val="af0"/>
        <w:spacing w:line="280" w:lineRule="exact"/>
        <w:rPr>
          <w:rFonts w:ascii="微软雅黑" w:eastAsia="微软雅黑" w:hAnsi="微软雅黑"/>
          <w:sz w:val="24"/>
          <w:szCs w:val="24"/>
        </w:rPr>
      </w:pPr>
      <w:r w:rsidRPr="00F10D92">
        <w:rPr>
          <w:rFonts w:ascii="微软雅黑" w:eastAsia="微软雅黑" w:hAnsi="微软雅黑" w:hint="eastAsia"/>
          <w:sz w:val="24"/>
          <w:szCs w:val="24"/>
        </w:rPr>
        <w:t>（</w:t>
      </w:r>
      <w:r w:rsidRPr="00F10D92">
        <w:rPr>
          <w:rFonts w:ascii="微软雅黑" w:eastAsia="微软雅黑" w:hAnsi="微软雅黑"/>
          <w:sz w:val="24"/>
          <w:szCs w:val="24"/>
        </w:rPr>
        <w:t>2009年11月9日最高人民法院审判委员会第1476次会议通过　2009年12月14日最高人民法院公告公布　自2010年1月4日起施行</w:t>
      </w:r>
      <w:r w:rsidRPr="00F10D92">
        <w:rPr>
          <w:rFonts w:ascii="微软雅黑" w:eastAsia="微软雅黑" w:hAnsi="微软雅黑" w:hint="eastAsia"/>
          <w:sz w:val="24"/>
          <w:szCs w:val="24"/>
        </w:rPr>
        <w:t>）</w:t>
      </w:r>
    </w:p>
    <w:p w:rsidR="00C504EF" w:rsidRPr="00F10D92" w:rsidRDefault="00C504EF" w:rsidP="00162FF3">
      <w:pPr>
        <w:pStyle w:val="ab"/>
        <w:spacing w:line="400" w:lineRule="exact"/>
        <w:ind w:firstLine="480"/>
        <w:rPr>
          <w:rFonts w:ascii="微软雅黑" w:eastAsia="微软雅黑" w:hAnsi="微软雅黑" w:cs="宋体"/>
          <w:sz w:val="24"/>
          <w:szCs w:val="24"/>
        </w:rPr>
      </w:pP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F10D92">
        <w:rPr>
          <w:rFonts w:ascii="微软雅黑" w:eastAsia="微软雅黑" w:hAnsi="微软雅黑"/>
          <w:sz w:val="24"/>
          <w:szCs w:val="24"/>
        </w:rPr>
        <w:t>为规范行政许可案件的审理</w:t>
      </w:r>
      <w:r w:rsidRPr="00F10D92">
        <w:rPr>
          <w:rFonts w:ascii="微软雅黑" w:eastAsia="微软雅黑" w:hAnsi="微软雅黑" w:hint="eastAsia"/>
          <w:sz w:val="24"/>
          <w:szCs w:val="24"/>
        </w:rPr>
        <w:t>，</w:t>
      </w:r>
      <w:r w:rsidRPr="00F10D92">
        <w:rPr>
          <w:rFonts w:ascii="微软雅黑" w:eastAsia="微软雅黑" w:hAnsi="微软雅黑"/>
          <w:sz w:val="24"/>
          <w:szCs w:val="24"/>
        </w:rPr>
        <w:t>根据《中华人民共和国行政许可法》</w:t>
      </w:r>
      <w:r w:rsidRPr="00F10D92">
        <w:rPr>
          <w:rFonts w:ascii="微软雅黑" w:eastAsia="微软雅黑" w:hAnsi="微软雅黑" w:hint="eastAsia"/>
          <w:sz w:val="24"/>
          <w:szCs w:val="24"/>
        </w:rPr>
        <w:t>（</w:t>
      </w:r>
      <w:r w:rsidRPr="00F10D92">
        <w:rPr>
          <w:rFonts w:ascii="微软雅黑" w:eastAsia="微软雅黑" w:hAnsi="微软雅黑"/>
          <w:sz w:val="24"/>
          <w:szCs w:val="24"/>
        </w:rPr>
        <w:t>以下简称行政许可法</w:t>
      </w:r>
      <w:r w:rsidRPr="00F10D92">
        <w:rPr>
          <w:rFonts w:ascii="微软雅黑" w:eastAsia="微软雅黑" w:hAnsi="微软雅黑" w:hint="eastAsia"/>
          <w:sz w:val="24"/>
          <w:szCs w:val="24"/>
        </w:rPr>
        <w:t>）</w:t>
      </w:r>
      <w:r w:rsidRPr="00F10D92">
        <w:rPr>
          <w:rFonts w:ascii="微软雅黑" w:eastAsia="微软雅黑" w:hAnsi="微软雅黑"/>
          <w:sz w:val="24"/>
          <w:szCs w:val="24"/>
        </w:rPr>
        <w:t>、《中华人民共和国行政诉讼法》及其他有关法律规定</w:t>
      </w:r>
      <w:r w:rsidRPr="00F10D92">
        <w:rPr>
          <w:rFonts w:ascii="微软雅黑" w:eastAsia="微软雅黑" w:hAnsi="微软雅黑" w:hint="eastAsia"/>
          <w:sz w:val="24"/>
          <w:szCs w:val="24"/>
        </w:rPr>
        <w:t>，</w:t>
      </w:r>
      <w:r w:rsidRPr="00F10D92">
        <w:rPr>
          <w:rFonts w:ascii="微软雅黑" w:eastAsia="微软雅黑" w:hAnsi="微软雅黑"/>
          <w:sz w:val="24"/>
          <w:szCs w:val="24"/>
        </w:rPr>
        <w:t>结合行政审判实际</w:t>
      </w:r>
      <w:r w:rsidRPr="00F10D92">
        <w:rPr>
          <w:rFonts w:ascii="微软雅黑" w:eastAsia="微软雅黑" w:hAnsi="微软雅黑" w:hint="eastAsia"/>
          <w:sz w:val="24"/>
          <w:szCs w:val="24"/>
        </w:rPr>
        <w:t>，</w:t>
      </w:r>
      <w:r w:rsidRPr="00F10D92">
        <w:rPr>
          <w:rFonts w:ascii="微软雅黑" w:eastAsia="微软雅黑" w:hAnsi="微软雅黑"/>
          <w:sz w:val="24"/>
          <w:szCs w:val="24"/>
        </w:rPr>
        <w:t>对有关问题作如下规定：</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第一条</w:t>
      </w:r>
      <w:r w:rsidRPr="00F10D92">
        <w:rPr>
          <w:rFonts w:ascii="微软雅黑" w:eastAsia="微软雅黑" w:hAnsi="微软雅黑"/>
          <w:sz w:val="24"/>
          <w:szCs w:val="24"/>
        </w:rPr>
        <w:t xml:space="preserve">　公民、法人或者其他组织认为行政机关</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的行政许可决定以及相应的不作为</w:t>
      </w:r>
      <w:r w:rsidRPr="00F10D92">
        <w:rPr>
          <w:rFonts w:ascii="微软雅黑" w:eastAsia="微软雅黑" w:hAnsi="微软雅黑" w:hint="eastAsia"/>
          <w:sz w:val="24"/>
          <w:szCs w:val="24"/>
        </w:rPr>
        <w:t>，</w:t>
      </w:r>
      <w:r w:rsidRPr="00F10D92">
        <w:rPr>
          <w:rFonts w:ascii="微软雅黑" w:eastAsia="微软雅黑" w:hAnsi="微软雅黑"/>
          <w:sz w:val="24"/>
          <w:szCs w:val="24"/>
        </w:rPr>
        <w:t>或者行政机关就行政许可的变更、延续、撤回、注销、撤销等事项</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的有关具体行政行为及其相应的不作为侵犯其合法权益</w:t>
      </w:r>
      <w:r w:rsidRPr="00F10D92">
        <w:rPr>
          <w:rFonts w:ascii="微软雅黑" w:eastAsia="微软雅黑" w:hAnsi="微软雅黑" w:hint="eastAsia"/>
          <w:sz w:val="24"/>
          <w:szCs w:val="24"/>
        </w:rPr>
        <w:t>，</w:t>
      </w:r>
      <w:r w:rsidRPr="00F10D92">
        <w:rPr>
          <w:rFonts w:ascii="微软雅黑" w:eastAsia="微软雅黑" w:hAnsi="微软雅黑"/>
          <w:sz w:val="24"/>
          <w:szCs w:val="24"/>
        </w:rPr>
        <w:t>提起行政诉讼的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人民法院应当依法受理。</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第二条</w:t>
      </w:r>
      <w:r w:rsidRPr="00F10D92">
        <w:rPr>
          <w:rFonts w:ascii="微软雅黑" w:eastAsia="微软雅黑" w:hAnsi="微软雅黑"/>
          <w:sz w:val="24"/>
          <w:szCs w:val="24"/>
        </w:rPr>
        <w:t xml:space="preserve">　公民、法人或者其他组织认为行政机关未公开</w:t>
      </w:r>
      <w:r w:rsidRPr="00F10D92">
        <w:rPr>
          <w:rFonts w:ascii="微软雅黑" w:eastAsia="微软雅黑" w:hAnsi="微软雅黑" w:hint="eastAsia"/>
          <w:sz w:val="24"/>
          <w:szCs w:val="24"/>
        </w:rPr>
        <w:t>行政许可决定或者未提供行政许可监督检查记录侵犯其合法权益，提起行政诉讼的，人民法院应当依法受理。</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第三条</w:t>
      </w:r>
      <w:r w:rsidRPr="00F10D92">
        <w:rPr>
          <w:rFonts w:ascii="微软雅黑" w:eastAsia="微软雅黑" w:hAnsi="微软雅黑"/>
          <w:sz w:val="24"/>
          <w:szCs w:val="24"/>
        </w:rPr>
        <w:t xml:space="preserve">　公民、法人或者其他组织仅就行政许可过程中的告知补正申请材料、听证等通知行为提起行政诉讼的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人民法院不予受理</w:t>
      </w:r>
      <w:r w:rsidRPr="00F10D92">
        <w:rPr>
          <w:rFonts w:ascii="微软雅黑" w:eastAsia="微软雅黑" w:hAnsi="微软雅黑" w:hint="eastAsia"/>
          <w:sz w:val="24"/>
          <w:szCs w:val="24"/>
        </w:rPr>
        <w:t>，</w:t>
      </w:r>
      <w:r w:rsidRPr="00F10D92">
        <w:rPr>
          <w:rFonts w:ascii="微软雅黑" w:eastAsia="微软雅黑" w:hAnsi="微软雅黑"/>
          <w:sz w:val="24"/>
          <w:szCs w:val="24"/>
        </w:rPr>
        <w:t>但导致许可程序对上述主体事实上终止的除外。</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第四条</w:t>
      </w:r>
      <w:r w:rsidRPr="00F10D92">
        <w:rPr>
          <w:rFonts w:ascii="微软雅黑" w:eastAsia="微软雅黑" w:hAnsi="微软雅黑"/>
          <w:sz w:val="24"/>
          <w:szCs w:val="24"/>
        </w:rPr>
        <w:t xml:space="preserve">　当事人不服行政许可决定提起诉讼的</w:t>
      </w:r>
      <w:r w:rsidRPr="00F10D92">
        <w:rPr>
          <w:rFonts w:ascii="微软雅黑" w:eastAsia="微软雅黑" w:hAnsi="微软雅黑" w:hint="eastAsia"/>
          <w:sz w:val="24"/>
          <w:szCs w:val="24"/>
        </w:rPr>
        <w:t>，</w:t>
      </w:r>
      <w:r w:rsidRPr="00F10D92">
        <w:rPr>
          <w:rFonts w:ascii="微软雅黑" w:eastAsia="微软雅黑" w:hAnsi="微软雅黑"/>
          <w:sz w:val="24"/>
          <w:szCs w:val="24"/>
        </w:rPr>
        <w:t>以</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行政许可决定的机关为被告；行政许可依法须经上级行政机关批准</w:t>
      </w:r>
      <w:r w:rsidRPr="00F10D92">
        <w:rPr>
          <w:rFonts w:ascii="微软雅黑" w:eastAsia="微软雅黑" w:hAnsi="微软雅黑" w:hint="eastAsia"/>
          <w:sz w:val="24"/>
          <w:szCs w:val="24"/>
        </w:rPr>
        <w:t>，</w:t>
      </w:r>
      <w:r w:rsidRPr="00F10D92">
        <w:rPr>
          <w:rFonts w:ascii="微软雅黑" w:eastAsia="微软雅黑" w:hAnsi="微软雅黑"/>
          <w:sz w:val="24"/>
          <w:szCs w:val="24"/>
        </w:rPr>
        <w:t>当事人对批准或者不批准行为不服一并提起诉讼的</w:t>
      </w:r>
      <w:r w:rsidRPr="00F10D92">
        <w:rPr>
          <w:rFonts w:ascii="微软雅黑" w:eastAsia="微软雅黑" w:hAnsi="微软雅黑" w:hint="eastAsia"/>
          <w:sz w:val="24"/>
          <w:szCs w:val="24"/>
        </w:rPr>
        <w:t>，</w:t>
      </w:r>
      <w:r w:rsidRPr="00F10D92">
        <w:rPr>
          <w:rFonts w:ascii="微软雅黑" w:eastAsia="微软雅黑" w:hAnsi="微软雅黑"/>
          <w:sz w:val="24"/>
          <w:szCs w:val="24"/>
        </w:rPr>
        <w:t>以上级行政机关为共同被告；行政许可依法</w:t>
      </w:r>
      <w:r w:rsidRPr="00F10D92">
        <w:rPr>
          <w:rFonts w:ascii="微软雅黑" w:eastAsia="微软雅黑" w:hAnsi="微软雅黑" w:hint="eastAsia"/>
          <w:sz w:val="24"/>
          <w:szCs w:val="24"/>
        </w:rPr>
        <w:t>须经下级行政机关或者管理公共事务的组织初步审查并上报，当事人对不予初步审查或者不予上报不服提起诉讼的，以下级行政机关或者管理公共事务的组织为被告。</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第五条</w:t>
      </w:r>
      <w:r w:rsidRPr="00F10D92">
        <w:rPr>
          <w:rFonts w:ascii="微软雅黑" w:eastAsia="微软雅黑" w:hAnsi="微软雅黑"/>
          <w:sz w:val="24"/>
          <w:szCs w:val="24"/>
        </w:rPr>
        <w:t xml:space="preserve">　行政机关依据行政许可法第二十六条第二款规定统一办理行政许可的</w:t>
      </w:r>
      <w:r w:rsidRPr="00F10D92">
        <w:rPr>
          <w:rFonts w:ascii="微软雅黑" w:eastAsia="微软雅黑" w:hAnsi="微软雅黑" w:hint="eastAsia"/>
          <w:sz w:val="24"/>
          <w:szCs w:val="24"/>
        </w:rPr>
        <w:t>，</w:t>
      </w:r>
      <w:r w:rsidRPr="00F10D92">
        <w:rPr>
          <w:rFonts w:ascii="微软雅黑" w:eastAsia="微软雅黑" w:hAnsi="微软雅黑"/>
          <w:sz w:val="24"/>
          <w:szCs w:val="24"/>
        </w:rPr>
        <w:t>当事人对行政许可行为不服提起诉讼</w:t>
      </w:r>
      <w:r w:rsidRPr="00F10D92">
        <w:rPr>
          <w:rFonts w:ascii="微软雅黑" w:eastAsia="微软雅黑" w:hAnsi="微软雅黑" w:hint="eastAsia"/>
          <w:sz w:val="24"/>
          <w:szCs w:val="24"/>
        </w:rPr>
        <w:t>，</w:t>
      </w:r>
      <w:r w:rsidRPr="00F10D92">
        <w:rPr>
          <w:rFonts w:ascii="微软雅黑" w:eastAsia="微软雅黑" w:hAnsi="微软雅黑"/>
          <w:sz w:val="24"/>
          <w:szCs w:val="24"/>
        </w:rPr>
        <w:t>以对当事人</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具有实质影响的不利行为的机关为被告。</w:t>
      </w:r>
    </w:p>
    <w:p w:rsidR="00C504EF" w:rsidRPr="00F10D92" w:rsidRDefault="00102F07" w:rsidP="00162FF3">
      <w:pPr>
        <w:pStyle w:val="ab"/>
        <w:spacing w:line="400" w:lineRule="exact"/>
        <w:ind w:firstLine="480"/>
        <w:rPr>
          <w:rFonts w:ascii="微软雅黑" w:eastAsia="微软雅黑" w:hAnsi="微软雅黑"/>
          <w:sz w:val="24"/>
          <w:szCs w:val="24"/>
        </w:rPr>
      </w:pPr>
      <w:r w:rsidRPr="0024023D">
        <w:rPr>
          <w:rStyle w:val="af7"/>
          <w:rFonts w:ascii="微软雅黑" w:eastAsia="微软雅黑" w:hAnsi="微软雅黑"/>
          <w:b/>
          <w:bCs/>
          <w:sz w:val="24"/>
          <w:szCs w:val="24"/>
        </w:rPr>
        <w:t>第六条</w:t>
      </w:r>
      <w:r w:rsidRPr="00F10D92">
        <w:rPr>
          <w:rFonts w:ascii="微软雅黑" w:eastAsia="微软雅黑" w:hAnsi="微软雅黑"/>
          <w:sz w:val="24"/>
          <w:szCs w:val="24"/>
        </w:rPr>
        <w:t xml:space="preserve">　行政机关受理行政许可申请后</w:t>
      </w:r>
      <w:r w:rsidRPr="00F10D92">
        <w:rPr>
          <w:rFonts w:ascii="微软雅黑" w:eastAsia="微软雅黑" w:hAnsi="微软雅黑" w:hint="eastAsia"/>
          <w:sz w:val="24"/>
          <w:szCs w:val="24"/>
        </w:rPr>
        <w:t>，</w:t>
      </w:r>
      <w:r w:rsidRPr="00F10D92">
        <w:rPr>
          <w:rFonts w:ascii="微软雅黑" w:eastAsia="微软雅黑" w:hAnsi="微软雅黑"/>
          <w:sz w:val="24"/>
          <w:szCs w:val="24"/>
        </w:rPr>
        <w:t>在法定期限内不予答复</w:t>
      </w:r>
      <w:r w:rsidRPr="00F10D92">
        <w:rPr>
          <w:rFonts w:ascii="微软雅黑" w:eastAsia="微软雅黑" w:hAnsi="微软雅黑" w:hint="eastAsia"/>
          <w:sz w:val="24"/>
          <w:szCs w:val="24"/>
        </w:rPr>
        <w:t>，</w:t>
      </w:r>
      <w:r w:rsidRPr="00F10D92">
        <w:rPr>
          <w:rFonts w:ascii="微软雅黑" w:eastAsia="微软雅黑" w:hAnsi="微软雅黑"/>
          <w:sz w:val="24"/>
          <w:szCs w:val="24"/>
        </w:rPr>
        <w:t>公民、法人或者其他组织向人民法院起诉的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人民法院应当依法受理。</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F10D92">
        <w:rPr>
          <w:rFonts w:ascii="微软雅黑" w:eastAsia="微软雅黑" w:hAnsi="微软雅黑"/>
          <w:sz w:val="24"/>
          <w:szCs w:val="24"/>
        </w:rPr>
        <w:t>前款“法定期限”</w:t>
      </w:r>
      <w:proofErr w:type="gramStart"/>
      <w:r w:rsidRPr="00F10D92">
        <w:rPr>
          <w:rFonts w:ascii="微软雅黑" w:eastAsia="微软雅黑" w:hAnsi="微软雅黑"/>
          <w:sz w:val="24"/>
          <w:szCs w:val="24"/>
        </w:rPr>
        <w:t>自行</w:t>
      </w:r>
      <w:r w:rsidRPr="00F10D92">
        <w:rPr>
          <w:rFonts w:ascii="微软雅黑" w:eastAsia="微软雅黑" w:hAnsi="微软雅黑" w:hint="eastAsia"/>
          <w:sz w:val="24"/>
          <w:szCs w:val="24"/>
        </w:rPr>
        <w:t>政</w:t>
      </w:r>
      <w:proofErr w:type="gramEnd"/>
      <w:r w:rsidRPr="00F10D92">
        <w:rPr>
          <w:rFonts w:ascii="微软雅黑" w:eastAsia="微软雅黑" w:hAnsi="微软雅黑" w:hint="eastAsia"/>
          <w:sz w:val="24"/>
          <w:szCs w:val="24"/>
        </w:rPr>
        <w:t>许可申请受理之日起计算；以数据电文方式受理的，</w:t>
      </w:r>
      <w:proofErr w:type="gramStart"/>
      <w:r w:rsidRPr="00F10D92">
        <w:rPr>
          <w:rFonts w:ascii="微软雅黑" w:eastAsia="微软雅黑" w:hAnsi="微软雅黑" w:hint="eastAsia"/>
          <w:sz w:val="24"/>
          <w:szCs w:val="24"/>
        </w:rPr>
        <w:t>自数据</w:t>
      </w:r>
      <w:proofErr w:type="gramEnd"/>
      <w:r w:rsidRPr="00F10D92">
        <w:rPr>
          <w:rFonts w:ascii="微软雅黑" w:eastAsia="微软雅黑" w:hAnsi="微软雅黑" w:hint="eastAsia"/>
          <w:sz w:val="24"/>
          <w:szCs w:val="24"/>
        </w:rPr>
        <w:t>电文进入行政机关指定的特定系统之日起计算；数据电文需要确认收讫的，自申请人收到行政机关的收讫确认之日起计算。</w:t>
      </w:r>
    </w:p>
    <w:p w:rsidR="00C504EF" w:rsidRPr="00F10D92" w:rsidRDefault="00102F07" w:rsidP="00162FF3">
      <w:pPr>
        <w:pStyle w:val="ab"/>
        <w:spacing w:line="400" w:lineRule="exact"/>
        <w:ind w:firstLine="480"/>
        <w:rPr>
          <w:rFonts w:ascii="微软雅黑" w:eastAsia="微软雅黑" w:hAnsi="微软雅黑"/>
          <w:sz w:val="24"/>
          <w:szCs w:val="24"/>
        </w:rPr>
      </w:pPr>
      <w:r w:rsidRPr="0024023D">
        <w:rPr>
          <w:rStyle w:val="af7"/>
          <w:rFonts w:ascii="微软雅黑" w:eastAsia="微软雅黑" w:hAnsi="微软雅黑"/>
          <w:b/>
          <w:bCs/>
          <w:sz w:val="24"/>
          <w:szCs w:val="24"/>
        </w:rPr>
        <w:lastRenderedPageBreak/>
        <w:t>第七条</w:t>
      </w:r>
      <w:r w:rsidRPr="00F10D92">
        <w:rPr>
          <w:rFonts w:ascii="微软雅黑" w:eastAsia="微软雅黑" w:hAnsi="微软雅黑"/>
          <w:sz w:val="24"/>
          <w:szCs w:val="24"/>
        </w:rPr>
        <w:t xml:space="preserve">　作为被诉行政许可行为基础的其他行政决定或者文书存在以下情形之一的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人民法院不予认可：</w:t>
      </w:r>
    </w:p>
    <w:p w:rsidR="00C504EF" w:rsidRPr="00F10D92" w:rsidRDefault="00102F07" w:rsidP="00162FF3">
      <w:pPr>
        <w:pStyle w:val="ab"/>
        <w:spacing w:line="400" w:lineRule="exact"/>
        <w:ind w:firstLine="480"/>
        <w:rPr>
          <w:rFonts w:ascii="微软雅黑" w:eastAsia="微软雅黑" w:hAnsi="微软雅黑"/>
          <w:sz w:val="24"/>
          <w:szCs w:val="24"/>
        </w:rPr>
      </w:pPr>
      <w:r w:rsidRPr="00F10D92">
        <w:rPr>
          <w:rFonts w:ascii="微软雅黑" w:eastAsia="微软雅黑" w:hAnsi="微软雅黑" w:hint="eastAsia"/>
          <w:sz w:val="24"/>
          <w:szCs w:val="24"/>
        </w:rPr>
        <w:t>（</w:t>
      </w:r>
      <w:r w:rsidRPr="00F10D92">
        <w:rPr>
          <w:rFonts w:ascii="微软雅黑" w:eastAsia="微软雅黑" w:hAnsi="微软雅黑"/>
          <w:sz w:val="24"/>
          <w:szCs w:val="24"/>
        </w:rPr>
        <w:t>一</w:t>
      </w:r>
      <w:r w:rsidRPr="00F10D92">
        <w:rPr>
          <w:rFonts w:ascii="微软雅黑" w:eastAsia="微软雅黑" w:hAnsi="微软雅黑" w:hint="eastAsia"/>
          <w:sz w:val="24"/>
          <w:szCs w:val="24"/>
        </w:rPr>
        <w:t>）</w:t>
      </w:r>
      <w:r w:rsidRPr="00F10D92">
        <w:rPr>
          <w:rFonts w:ascii="微软雅黑" w:eastAsia="微软雅黑" w:hAnsi="微软雅黑"/>
          <w:sz w:val="24"/>
          <w:szCs w:val="24"/>
        </w:rPr>
        <w:t>明显缺乏事实根据；</w:t>
      </w:r>
    </w:p>
    <w:p w:rsidR="00C504EF" w:rsidRPr="00F10D92" w:rsidRDefault="00102F07" w:rsidP="00162FF3">
      <w:pPr>
        <w:pStyle w:val="ab"/>
        <w:spacing w:line="400" w:lineRule="exact"/>
        <w:ind w:firstLine="480"/>
        <w:rPr>
          <w:rFonts w:ascii="微软雅黑" w:eastAsia="微软雅黑" w:hAnsi="微软雅黑"/>
          <w:sz w:val="24"/>
          <w:szCs w:val="24"/>
        </w:rPr>
      </w:pPr>
      <w:r w:rsidRPr="00F10D92">
        <w:rPr>
          <w:rFonts w:ascii="微软雅黑" w:eastAsia="微软雅黑" w:hAnsi="微软雅黑" w:hint="eastAsia"/>
          <w:sz w:val="24"/>
          <w:szCs w:val="24"/>
        </w:rPr>
        <w:t>（</w:t>
      </w:r>
      <w:r w:rsidRPr="00F10D92">
        <w:rPr>
          <w:rFonts w:ascii="微软雅黑" w:eastAsia="微软雅黑" w:hAnsi="微软雅黑"/>
          <w:sz w:val="24"/>
          <w:szCs w:val="24"/>
        </w:rPr>
        <w:t>二</w:t>
      </w:r>
      <w:r w:rsidRPr="00F10D92">
        <w:rPr>
          <w:rFonts w:ascii="微软雅黑" w:eastAsia="微软雅黑" w:hAnsi="微软雅黑" w:hint="eastAsia"/>
          <w:sz w:val="24"/>
          <w:szCs w:val="24"/>
        </w:rPr>
        <w:t>）</w:t>
      </w:r>
      <w:r w:rsidRPr="00F10D92">
        <w:rPr>
          <w:rFonts w:ascii="微软雅黑" w:eastAsia="微软雅黑" w:hAnsi="微软雅黑"/>
          <w:sz w:val="24"/>
          <w:szCs w:val="24"/>
        </w:rPr>
        <w:t>明显缺乏法律依据；</w:t>
      </w:r>
    </w:p>
    <w:p w:rsidR="00C504EF" w:rsidRPr="00F10D92" w:rsidRDefault="00102F07" w:rsidP="00162FF3">
      <w:pPr>
        <w:pStyle w:val="ab"/>
        <w:spacing w:line="400" w:lineRule="exact"/>
        <w:ind w:firstLine="480"/>
        <w:rPr>
          <w:rFonts w:ascii="微软雅黑" w:eastAsia="微软雅黑" w:hAnsi="微软雅黑"/>
          <w:sz w:val="24"/>
          <w:szCs w:val="24"/>
        </w:rPr>
      </w:pPr>
      <w:r w:rsidRPr="00F10D92">
        <w:rPr>
          <w:rFonts w:ascii="微软雅黑" w:eastAsia="微软雅黑" w:hAnsi="微软雅黑" w:hint="eastAsia"/>
          <w:sz w:val="24"/>
          <w:szCs w:val="24"/>
        </w:rPr>
        <w:t>（</w:t>
      </w:r>
      <w:r w:rsidRPr="00F10D92">
        <w:rPr>
          <w:rFonts w:ascii="微软雅黑" w:eastAsia="微软雅黑" w:hAnsi="微软雅黑"/>
          <w:sz w:val="24"/>
          <w:szCs w:val="24"/>
        </w:rPr>
        <w:t>三</w:t>
      </w:r>
      <w:r w:rsidRPr="00F10D92">
        <w:rPr>
          <w:rFonts w:ascii="微软雅黑" w:eastAsia="微软雅黑" w:hAnsi="微软雅黑" w:hint="eastAsia"/>
          <w:sz w:val="24"/>
          <w:szCs w:val="24"/>
        </w:rPr>
        <w:t>）</w:t>
      </w:r>
      <w:r w:rsidRPr="00F10D92">
        <w:rPr>
          <w:rFonts w:ascii="微软雅黑" w:eastAsia="微软雅黑" w:hAnsi="微软雅黑"/>
          <w:sz w:val="24"/>
          <w:szCs w:val="24"/>
        </w:rPr>
        <w:t>超越职权；</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F10D92">
        <w:rPr>
          <w:rFonts w:ascii="微软雅黑" w:eastAsia="微软雅黑" w:hAnsi="微软雅黑" w:hint="eastAsia"/>
          <w:sz w:val="24"/>
          <w:szCs w:val="24"/>
        </w:rPr>
        <w:t>（</w:t>
      </w:r>
      <w:r w:rsidRPr="00F10D92">
        <w:rPr>
          <w:rFonts w:ascii="微软雅黑" w:eastAsia="微软雅黑" w:hAnsi="微软雅黑"/>
          <w:sz w:val="24"/>
          <w:szCs w:val="24"/>
        </w:rPr>
        <w:t>四</w:t>
      </w:r>
      <w:r w:rsidRPr="00F10D92">
        <w:rPr>
          <w:rFonts w:ascii="微软雅黑" w:eastAsia="微软雅黑" w:hAnsi="微软雅黑" w:hint="eastAsia"/>
          <w:sz w:val="24"/>
          <w:szCs w:val="24"/>
        </w:rPr>
        <w:t>）</w:t>
      </w:r>
      <w:r w:rsidRPr="00F10D92">
        <w:rPr>
          <w:rFonts w:ascii="微软雅黑" w:eastAsia="微软雅黑" w:hAnsi="微软雅黑"/>
          <w:sz w:val="24"/>
          <w:szCs w:val="24"/>
        </w:rPr>
        <w:t>其他重大明显违法情形。</w:t>
      </w:r>
    </w:p>
    <w:p w:rsidR="00C504EF" w:rsidRPr="00F10D92" w:rsidRDefault="00102F07" w:rsidP="00162FF3">
      <w:pPr>
        <w:pStyle w:val="ab"/>
        <w:spacing w:line="400" w:lineRule="exact"/>
        <w:ind w:firstLine="480"/>
        <w:rPr>
          <w:rFonts w:ascii="微软雅黑" w:eastAsia="微软雅黑" w:hAnsi="微软雅黑"/>
          <w:sz w:val="24"/>
          <w:szCs w:val="24"/>
        </w:rPr>
      </w:pPr>
      <w:r w:rsidRPr="0024023D">
        <w:rPr>
          <w:rStyle w:val="af7"/>
          <w:rFonts w:ascii="微软雅黑" w:eastAsia="微软雅黑" w:hAnsi="微软雅黑"/>
          <w:b/>
          <w:bCs/>
          <w:sz w:val="24"/>
          <w:szCs w:val="24"/>
        </w:rPr>
        <w:t>第八条</w:t>
      </w:r>
      <w:r w:rsidRPr="00F10D92">
        <w:rPr>
          <w:rFonts w:ascii="微软雅黑" w:eastAsia="微软雅黑" w:hAnsi="微软雅黑"/>
          <w:sz w:val="24"/>
          <w:szCs w:val="24"/>
        </w:rPr>
        <w:t xml:space="preserve">　被告不提供或者无正当理由逾期提供证据的</w:t>
      </w:r>
      <w:r w:rsidRPr="00F10D92">
        <w:rPr>
          <w:rFonts w:ascii="微软雅黑" w:eastAsia="微软雅黑" w:hAnsi="微软雅黑" w:hint="eastAsia"/>
          <w:sz w:val="24"/>
          <w:szCs w:val="24"/>
        </w:rPr>
        <w:t>，</w:t>
      </w:r>
      <w:r w:rsidRPr="00F10D92">
        <w:rPr>
          <w:rFonts w:ascii="微软雅黑" w:eastAsia="微软雅黑" w:hAnsi="微软雅黑"/>
          <w:sz w:val="24"/>
          <w:szCs w:val="24"/>
        </w:rPr>
        <w:t>与被诉行政许可行为有利害关系</w:t>
      </w:r>
      <w:r w:rsidRPr="00F10D92">
        <w:rPr>
          <w:rFonts w:ascii="微软雅黑" w:eastAsia="微软雅黑" w:hAnsi="微软雅黑" w:hint="eastAsia"/>
          <w:sz w:val="24"/>
          <w:szCs w:val="24"/>
        </w:rPr>
        <w:t>的第三人可以向人民法院提供；第三人对无法提供的证据，可以申请人民法院调取；人民法院在当事人无争议，但涉及国家利益、公共利益或者他人合法权益的情况下，也可以依职权调取证据。</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F10D92">
        <w:rPr>
          <w:rFonts w:ascii="微软雅黑" w:eastAsia="微软雅黑" w:hAnsi="微软雅黑"/>
          <w:sz w:val="24"/>
          <w:szCs w:val="24"/>
        </w:rPr>
        <w:t>第三人提供或者人民法院调取的证据能够证明行政许可行为合法的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人民法院应当判决驳回原告的诉讼请求。</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第九条</w:t>
      </w:r>
      <w:r w:rsidRPr="00F10D92">
        <w:rPr>
          <w:rFonts w:ascii="微软雅黑" w:eastAsia="微软雅黑" w:hAnsi="微软雅黑"/>
          <w:sz w:val="24"/>
          <w:szCs w:val="24"/>
        </w:rPr>
        <w:t xml:space="preserve">　人民法院审理行政许可案件</w:t>
      </w:r>
      <w:r w:rsidRPr="00F10D92">
        <w:rPr>
          <w:rFonts w:ascii="微软雅黑" w:eastAsia="微软雅黑" w:hAnsi="微软雅黑" w:hint="eastAsia"/>
          <w:sz w:val="24"/>
          <w:szCs w:val="24"/>
        </w:rPr>
        <w:t>，</w:t>
      </w:r>
      <w:r w:rsidRPr="00F10D92">
        <w:rPr>
          <w:rFonts w:ascii="微软雅黑" w:eastAsia="微软雅黑" w:hAnsi="微软雅黑"/>
          <w:sz w:val="24"/>
          <w:szCs w:val="24"/>
        </w:rPr>
        <w:t>应当以申请人提出行政许可申请后实施的新的法律规范为依据；行政机关在旧的法律规范实施期间</w:t>
      </w:r>
      <w:r w:rsidRPr="00F10D92">
        <w:rPr>
          <w:rFonts w:ascii="微软雅黑" w:eastAsia="微软雅黑" w:hAnsi="微软雅黑" w:hint="eastAsia"/>
          <w:sz w:val="24"/>
          <w:szCs w:val="24"/>
        </w:rPr>
        <w:t>，</w:t>
      </w:r>
      <w:r w:rsidRPr="00F10D92">
        <w:rPr>
          <w:rFonts w:ascii="微软雅黑" w:eastAsia="微软雅黑" w:hAnsi="微软雅黑"/>
          <w:sz w:val="24"/>
          <w:szCs w:val="24"/>
        </w:rPr>
        <w:t>无正当理由拖延审查行政许可申请至新的法律规范实施</w:t>
      </w:r>
      <w:r w:rsidRPr="00F10D92">
        <w:rPr>
          <w:rFonts w:ascii="微软雅黑" w:eastAsia="微软雅黑" w:hAnsi="微软雅黑" w:hint="eastAsia"/>
          <w:sz w:val="24"/>
          <w:szCs w:val="24"/>
        </w:rPr>
        <w:t>，</w:t>
      </w:r>
      <w:r w:rsidRPr="00F10D92">
        <w:rPr>
          <w:rFonts w:ascii="微软雅黑" w:eastAsia="微软雅黑" w:hAnsi="微软雅黑"/>
          <w:sz w:val="24"/>
          <w:szCs w:val="24"/>
        </w:rPr>
        <w:t>适用新的法律规范不利于申请人的</w:t>
      </w:r>
      <w:r w:rsidRPr="00F10D92">
        <w:rPr>
          <w:rFonts w:ascii="微软雅黑" w:eastAsia="微软雅黑" w:hAnsi="微软雅黑" w:hint="eastAsia"/>
          <w:sz w:val="24"/>
          <w:szCs w:val="24"/>
        </w:rPr>
        <w:t>，</w:t>
      </w:r>
      <w:r w:rsidRPr="00F10D92">
        <w:rPr>
          <w:rFonts w:ascii="微软雅黑" w:eastAsia="微软雅黑" w:hAnsi="微软雅黑"/>
          <w:sz w:val="24"/>
          <w:szCs w:val="24"/>
        </w:rPr>
        <w:t>以</w:t>
      </w:r>
      <w:r w:rsidRPr="00F10D92">
        <w:rPr>
          <w:rFonts w:ascii="微软雅黑" w:eastAsia="微软雅黑" w:hAnsi="微软雅黑" w:hint="eastAsia"/>
          <w:sz w:val="24"/>
          <w:szCs w:val="24"/>
        </w:rPr>
        <w:t>旧的法律规范为依据。</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第十条</w:t>
      </w:r>
      <w:r w:rsidRPr="00F10D92">
        <w:rPr>
          <w:rFonts w:ascii="微软雅黑" w:eastAsia="微软雅黑" w:hAnsi="微软雅黑"/>
          <w:sz w:val="24"/>
          <w:szCs w:val="24"/>
        </w:rPr>
        <w:t xml:space="preserve">　被诉准予行政许可决定违反当时的法律规范但符合新的法律规范的</w:t>
      </w:r>
      <w:r w:rsidRPr="00F10D92">
        <w:rPr>
          <w:rFonts w:ascii="微软雅黑" w:eastAsia="微软雅黑" w:hAnsi="微软雅黑" w:hint="eastAsia"/>
          <w:sz w:val="24"/>
          <w:szCs w:val="24"/>
        </w:rPr>
        <w:t>，</w:t>
      </w:r>
      <w:r w:rsidRPr="00F10D92">
        <w:rPr>
          <w:rFonts w:ascii="微软雅黑" w:eastAsia="微软雅黑" w:hAnsi="微软雅黑"/>
          <w:sz w:val="24"/>
          <w:szCs w:val="24"/>
        </w:rPr>
        <w:t>判决确认该决定违法；准予行政许可决定不损害公共利益和利害关系人合法权益的</w:t>
      </w:r>
      <w:r w:rsidRPr="00F10D92">
        <w:rPr>
          <w:rFonts w:ascii="微软雅黑" w:eastAsia="微软雅黑" w:hAnsi="微软雅黑" w:hint="eastAsia"/>
          <w:sz w:val="24"/>
          <w:szCs w:val="24"/>
        </w:rPr>
        <w:t>，</w:t>
      </w:r>
      <w:r w:rsidRPr="00F10D92">
        <w:rPr>
          <w:rFonts w:ascii="微软雅黑" w:eastAsia="微软雅黑" w:hAnsi="微软雅黑"/>
          <w:sz w:val="24"/>
          <w:szCs w:val="24"/>
        </w:rPr>
        <w:t>判决驳回原告的诉讼请求。</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第十一条</w:t>
      </w:r>
      <w:r w:rsidRPr="00F10D92">
        <w:rPr>
          <w:rFonts w:ascii="微软雅黑" w:eastAsia="微软雅黑" w:hAnsi="微软雅黑"/>
          <w:sz w:val="24"/>
          <w:szCs w:val="24"/>
        </w:rPr>
        <w:t xml:space="preserve">　人民法院审理不予行政许可决定案件</w:t>
      </w:r>
      <w:r w:rsidRPr="00F10D92">
        <w:rPr>
          <w:rFonts w:ascii="微软雅黑" w:eastAsia="微软雅黑" w:hAnsi="微软雅黑" w:hint="eastAsia"/>
          <w:sz w:val="24"/>
          <w:szCs w:val="24"/>
        </w:rPr>
        <w:t>，</w:t>
      </w:r>
      <w:r w:rsidRPr="00F10D92">
        <w:rPr>
          <w:rFonts w:ascii="微软雅黑" w:eastAsia="微软雅黑" w:hAnsi="微软雅黑"/>
          <w:sz w:val="24"/>
          <w:szCs w:val="24"/>
        </w:rPr>
        <w:t>认为原告请求准予许可的理由成立</w:t>
      </w:r>
      <w:r w:rsidRPr="00F10D92">
        <w:rPr>
          <w:rFonts w:ascii="微软雅黑" w:eastAsia="微软雅黑" w:hAnsi="微软雅黑" w:hint="eastAsia"/>
          <w:sz w:val="24"/>
          <w:szCs w:val="24"/>
        </w:rPr>
        <w:t>，</w:t>
      </w:r>
      <w:r w:rsidRPr="00F10D92">
        <w:rPr>
          <w:rFonts w:ascii="微软雅黑" w:eastAsia="微软雅黑" w:hAnsi="微软雅黑"/>
          <w:sz w:val="24"/>
          <w:szCs w:val="24"/>
        </w:rPr>
        <w:t>且被告没有裁量余地的</w:t>
      </w:r>
      <w:r w:rsidRPr="00F10D92">
        <w:rPr>
          <w:rFonts w:ascii="微软雅黑" w:eastAsia="微软雅黑" w:hAnsi="微软雅黑" w:hint="eastAsia"/>
          <w:sz w:val="24"/>
          <w:szCs w:val="24"/>
        </w:rPr>
        <w:t>，</w:t>
      </w:r>
      <w:r w:rsidRPr="00F10D92">
        <w:rPr>
          <w:rFonts w:ascii="微软雅黑" w:eastAsia="微软雅黑" w:hAnsi="微软雅黑"/>
          <w:sz w:val="24"/>
          <w:szCs w:val="24"/>
        </w:rPr>
        <w:t>可以在判决理由写明</w:t>
      </w:r>
      <w:r w:rsidRPr="00F10D92">
        <w:rPr>
          <w:rFonts w:ascii="微软雅黑" w:eastAsia="微软雅黑" w:hAnsi="微软雅黑" w:hint="eastAsia"/>
          <w:sz w:val="24"/>
          <w:szCs w:val="24"/>
        </w:rPr>
        <w:t>，</w:t>
      </w:r>
      <w:r w:rsidRPr="00F10D92">
        <w:rPr>
          <w:rFonts w:ascii="微软雅黑" w:eastAsia="微软雅黑" w:hAnsi="微软雅黑"/>
          <w:sz w:val="24"/>
          <w:szCs w:val="24"/>
        </w:rPr>
        <w:t>并判决撤销不予许可决定</w:t>
      </w:r>
      <w:r w:rsidRPr="00F10D92">
        <w:rPr>
          <w:rFonts w:ascii="微软雅黑" w:eastAsia="微软雅黑" w:hAnsi="微软雅黑" w:hint="eastAsia"/>
          <w:sz w:val="24"/>
          <w:szCs w:val="24"/>
        </w:rPr>
        <w:t>，</w:t>
      </w:r>
      <w:r w:rsidRPr="00F10D92">
        <w:rPr>
          <w:rFonts w:ascii="微软雅黑" w:eastAsia="微软雅黑" w:hAnsi="微软雅黑"/>
          <w:sz w:val="24"/>
          <w:szCs w:val="24"/>
        </w:rPr>
        <w:t>责令被告重新</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决定。</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第十二条</w:t>
      </w:r>
      <w:r w:rsidRPr="00F10D92">
        <w:rPr>
          <w:rFonts w:ascii="微软雅黑" w:eastAsia="微软雅黑" w:hAnsi="微软雅黑"/>
          <w:sz w:val="24"/>
          <w:szCs w:val="24"/>
        </w:rPr>
        <w:t xml:space="preserve">　被告无正当理由拒绝原告查阅行政许可决定及有关档案材料或</w:t>
      </w:r>
      <w:r w:rsidRPr="00F10D92">
        <w:rPr>
          <w:rFonts w:ascii="微软雅黑" w:eastAsia="微软雅黑" w:hAnsi="微软雅黑" w:hint="eastAsia"/>
          <w:sz w:val="24"/>
          <w:szCs w:val="24"/>
        </w:rPr>
        <w:t>者监督检查记录的，人民法院可以判决被告在法定或者合理期限内准予原告查阅。</w:t>
      </w:r>
    </w:p>
    <w:p w:rsidR="00C504EF" w:rsidRPr="00F10D92" w:rsidRDefault="00102F07" w:rsidP="00162FF3">
      <w:pPr>
        <w:pStyle w:val="ab"/>
        <w:spacing w:line="400" w:lineRule="exact"/>
        <w:ind w:firstLine="480"/>
        <w:rPr>
          <w:rFonts w:ascii="微软雅黑" w:eastAsia="微软雅黑" w:hAnsi="微软雅黑"/>
          <w:sz w:val="24"/>
          <w:szCs w:val="24"/>
        </w:rPr>
      </w:pPr>
      <w:r w:rsidRPr="0024023D">
        <w:rPr>
          <w:rStyle w:val="af7"/>
          <w:rFonts w:ascii="微软雅黑" w:eastAsia="微软雅黑" w:hAnsi="微软雅黑"/>
          <w:b/>
          <w:bCs/>
          <w:sz w:val="24"/>
          <w:szCs w:val="24"/>
        </w:rPr>
        <w:t>第十三条</w:t>
      </w:r>
      <w:r w:rsidRPr="00F10D92">
        <w:rPr>
          <w:rFonts w:ascii="微软雅黑" w:eastAsia="微软雅黑" w:hAnsi="微软雅黑"/>
          <w:sz w:val="24"/>
          <w:szCs w:val="24"/>
        </w:rPr>
        <w:t xml:space="preserve">　被告在实施行政许可过程中</w:t>
      </w:r>
      <w:r w:rsidRPr="00F10D92">
        <w:rPr>
          <w:rFonts w:ascii="微软雅黑" w:eastAsia="微软雅黑" w:hAnsi="微软雅黑" w:hint="eastAsia"/>
          <w:sz w:val="24"/>
          <w:szCs w:val="24"/>
        </w:rPr>
        <w:t>，</w:t>
      </w:r>
      <w:r w:rsidRPr="00F10D92">
        <w:rPr>
          <w:rFonts w:ascii="微软雅黑" w:eastAsia="微软雅黑" w:hAnsi="微软雅黑"/>
          <w:sz w:val="24"/>
          <w:szCs w:val="24"/>
        </w:rPr>
        <w:t>与他人恶意串通共同违法侵犯原告合法权益的</w:t>
      </w:r>
      <w:r w:rsidRPr="00F10D92">
        <w:rPr>
          <w:rFonts w:ascii="微软雅黑" w:eastAsia="微软雅黑" w:hAnsi="微软雅黑" w:hint="eastAsia"/>
          <w:sz w:val="24"/>
          <w:szCs w:val="24"/>
        </w:rPr>
        <w:t>，</w:t>
      </w:r>
      <w:r w:rsidRPr="00F10D92">
        <w:rPr>
          <w:rFonts w:ascii="微软雅黑" w:eastAsia="微软雅黑" w:hAnsi="微软雅黑"/>
          <w:sz w:val="24"/>
          <w:szCs w:val="24"/>
        </w:rPr>
        <w:t>应当承担连带赔偿责任；被告与他人违法侵犯原告合法权益的</w:t>
      </w:r>
      <w:r w:rsidRPr="00F10D92">
        <w:rPr>
          <w:rFonts w:ascii="微软雅黑" w:eastAsia="微软雅黑" w:hAnsi="微软雅黑" w:hint="eastAsia"/>
          <w:sz w:val="24"/>
          <w:szCs w:val="24"/>
        </w:rPr>
        <w:t>，</w:t>
      </w:r>
      <w:r w:rsidRPr="00F10D92">
        <w:rPr>
          <w:rFonts w:ascii="微软雅黑" w:eastAsia="微软雅黑" w:hAnsi="微软雅黑"/>
          <w:sz w:val="24"/>
          <w:szCs w:val="24"/>
        </w:rPr>
        <w:t>应当根据其违法行为在损害发生过程和结果中所起作用等因素</w:t>
      </w:r>
      <w:r w:rsidRPr="00F10D92">
        <w:rPr>
          <w:rFonts w:ascii="微软雅黑" w:eastAsia="微软雅黑" w:hAnsi="微软雅黑" w:hint="eastAsia"/>
          <w:sz w:val="24"/>
          <w:szCs w:val="24"/>
        </w:rPr>
        <w:t>，</w:t>
      </w:r>
      <w:r w:rsidRPr="00F10D92">
        <w:rPr>
          <w:rFonts w:ascii="微软雅黑" w:eastAsia="微软雅黑" w:hAnsi="微软雅黑"/>
          <w:sz w:val="24"/>
          <w:szCs w:val="24"/>
        </w:rPr>
        <w:t>确定被告的行政赔偿责任；被告已经依照法定程序履行审慎合理的审查职责</w:t>
      </w:r>
      <w:r w:rsidRPr="00F10D92">
        <w:rPr>
          <w:rFonts w:ascii="微软雅黑" w:eastAsia="微软雅黑" w:hAnsi="微软雅黑" w:hint="eastAsia"/>
          <w:sz w:val="24"/>
          <w:szCs w:val="24"/>
        </w:rPr>
        <w:t>，</w:t>
      </w:r>
      <w:r w:rsidRPr="00F10D92">
        <w:rPr>
          <w:rFonts w:ascii="微软雅黑" w:eastAsia="微软雅黑" w:hAnsi="微软雅黑"/>
          <w:sz w:val="24"/>
          <w:szCs w:val="24"/>
        </w:rPr>
        <w:t>因他人行为导致行政许可决定违法的</w:t>
      </w:r>
      <w:r w:rsidRPr="00F10D92">
        <w:rPr>
          <w:rFonts w:ascii="微软雅黑" w:eastAsia="微软雅黑" w:hAnsi="微软雅黑" w:hint="eastAsia"/>
          <w:sz w:val="24"/>
          <w:szCs w:val="24"/>
        </w:rPr>
        <w:t>，</w:t>
      </w:r>
      <w:r w:rsidRPr="00F10D92">
        <w:rPr>
          <w:rFonts w:ascii="微软雅黑" w:eastAsia="微软雅黑" w:hAnsi="微软雅黑"/>
          <w:sz w:val="24"/>
          <w:szCs w:val="24"/>
        </w:rPr>
        <w:t>不承担赔偿责任。</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F10D92">
        <w:rPr>
          <w:rFonts w:ascii="微软雅黑" w:eastAsia="微软雅黑" w:hAnsi="微软雅黑"/>
          <w:sz w:val="24"/>
          <w:szCs w:val="24"/>
        </w:rPr>
        <w:t>在行政许可案件中</w:t>
      </w:r>
      <w:r w:rsidRPr="00F10D92">
        <w:rPr>
          <w:rFonts w:ascii="微软雅黑" w:eastAsia="微软雅黑" w:hAnsi="微软雅黑" w:hint="eastAsia"/>
          <w:sz w:val="24"/>
          <w:szCs w:val="24"/>
        </w:rPr>
        <w:t>，</w:t>
      </w:r>
      <w:r w:rsidRPr="00F10D92">
        <w:rPr>
          <w:rFonts w:ascii="微软雅黑" w:eastAsia="微软雅黑" w:hAnsi="微软雅黑"/>
          <w:sz w:val="24"/>
          <w:szCs w:val="24"/>
        </w:rPr>
        <w:t>当</w:t>
      </w:r>
      <w:bookmarkStart w:id="0" w:name="_GoBack"/>
      <w:bookmarkEnd w:id="0"/>
      <w:r w:rsidRPr="00F10D92">
        <w:rPr>
          <w:rFonts w:ascii="微软雅黑" w:eastAsia="微软雅黑" w:hAnsi="微软雅黑"/>
          <w:sz w:val="24"/>
          <w:szCs w:val="24"/>
        </w:rPr>
        <w:t>事人请求一并解决有关民事赔偿问题的</w:t>
      </w:r>
      <w:r w:rsidRPr="00F10D92">
        <w:rPr>
          <w:rFonts w:ascii="微软雅黑" w:eastAsia="微软雅黑" w:hAnsi="微软雅黑" w:hint="eastAsia"/>
          <w:sz w:val="24"/>
          <w:szCs w:val="24"/>
        </w:rPr>
        <w:t>，</w:t>
      </w:r>
      <w:r w:rsidRPr="00F10D92">
        <w:rPr>
          <w:rFonts w:ascii="微软雅黑" w:eastAsia="微软雅黑" w:hAnsi="微软雅黑"/>
          <w:sz w:val="24"/>
          <w:szCs w:val="24"/>
        </w:rPr>
        <w:t>人民法院可以合并审理。</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第十四条</w:t>
      </w:r>
      <w:r w:rsidRPr="00F10D92">
        <w:rPr>
          <w:rFonts w:ascii="微软雅黑" w:eastAsia="微软雅黑" w:hAnsi="微软雅黑"/>
          <w:sz w:val="24"/>
          <w:szCs w:val="24"/>
        </w:rPr>
        <w:t xml:space="preserve">　行政机关依据行政许可法第八条第二款规定变更或者撤回已经生效的行政许可</w:t>
      </w:r>
      <w:r w:rsidRPr="00F10D92">
        <w:rPr>
          <w:rFonts w:ascii="微软雅黑" w:eastAsia="微软雅黑" w:hAnsi="微软雅黑" w:hint="eastAsia"/>
          <w:sz w:val="24"/>
          <w:szCs w:val="24"/>
        </w:rPr>
        <w:t>，</w:t>
      </w:r>
      <w:r w:rsidRPr="00F10D92">
        <w:rPr>
          <w:rFonts w:ascii="微软雅黑" w:eastAsia="微软雅黑" w:hAnsi="微软雅黑"/>
          <w:sz w:val="24"/>
          <w:szCs w:val="24"/>
        </w:rPr>
        <w:t>公民、法人或者其他组织</w:t>
      </w:r>
      <w:proofErr w:type="gramStart"/>
      <w:r w:rsidRPr="00F10D92">
        <w:rPr>
          <w:rFonts w:ascii="微软雅黑" w:eastAsia="微软雅黑" w:hAnsi="微软雅黑"/>
          <w:sz w:val="24"/>
          <w:szCs w:val="24"/>
        </w:rPr>
        <w:t>仅主张</w:t>
      </w:r>
      <w:proofErr w:type="gramEnd"/>
      <w:r w:rsidRPr="00F10D92">
        <w:rPr>
          <w:rFonts w:ascii="微软雅黑" w:eastAsia="微软雅黑" w:hAnsi="微软雅黑"/>
          <w:sz w:val="24"/>
          <w:szCs w:val="24"/>
        </w:rPr>
        <w:t>行政补偿的</w:t>
      </w:r>
      <w:r w:rsidRPr="00F10D92">
        <w:rPr>
          <w:rFonts w:ascii="微软雅黑" w:eastAsia="微软雅黑" w:hAnsi="微软雅黑" w:hint="eastAsia"/>
          <w:sz w:val="24"/>
          <w:szCs w:val="24"/>
        </w:rPr>
        <w:t>，</w:t>
      </w:r>
      <w:r w:rsidRPr="00F10D92">
        <w:rPr>
          <w:rFonts w:ascii="微软雅黑" w:eastAsia="微软雅黑" w:hAnsi="微软雅黑"/>
          <w:sz w:val="24"/>
          <w:szCs w:val="24"/>
        </w:rPr>
        <w:t>应当先向行政机关提出申请；行政机关在法定期限或者合理期限内不予答复或者对行政机关</w:t>
      </w:r>
      <w:proofErr w:type="gramStart"/>
      <w:r w:rsidRPr="00F10D92">
        <w:rPr>
          <w:rFonts w:ascii="微软雅黑" w:eastAsia="微软雅黑" w:hAnsi="微软雅黑"/>
          <w:sz w:val="24"/>
          <w:szCs w:val="24"/>
        </w:rPr>
        <w:t>作出</w:t>
      </w:r>
      <w:proofErr w:type="gramEnd"/>
      <w:r w:rsidRPr="00F10D92">
        <w:rPr>
          <w:rFonts w:ascii="微软雅黑" w:eastAsia="微软雅黑" w:hAnsi="微软雅黑"/>
          <w:sz w:val="24"/>
          <w:szCs w:val="24"/>
        </w:rPr>
        <w:t>的补偿决定不服的</w:t>
      </w:r>
      <w:r w:rsidRPr="00F10D92">
        <w:rPr>
          <w:rFonts w:ascii="微软雅黑" w:eastAsia="微软雅黑" w:hAnsi="微软雅黑" w:hint="eastAsia"/>
          <w:sz w:val="24"/>
          <w:szCs w:val="24"/>
        </w:rPr>
        <w:t>，</w:t>
      </w:r>
      <w:r w:rsidRPr="00F10D92">
        <w:rPr>
          <w:rFonts w:ascii="微软雅黑" w:eastAsia="微软雅黑" w:hAnsi="微软雅黑"/>
          <w:sz w:val="24"/>
          <w:szCs w:val="24"/>
        </w:rPr>
        <w:t>可以依法提起行政诉讼。</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第十五条</w:t>
      </w:r>
      <w:r w:rsidRPr="00F10D92">
        <w:rPr>
          <w:rFonts w:ascii="微软雅黑" w:eastAsia="微软雅黑" w:hAnsi="微软雅黑"/>
          <w:sz w:val="24"/>
          <w:szCs w:val="24"/>
        </w:rPr>
        <w:t xml:space="preserve">　法律、法规、规章或者规范性文件对变更或者撤回行政许可的补偿标准未作规定的</w:t>
      </w:r>
      <w:r w:rsidRPr="00F10D92">
        <w:rPr>
          <w:rFonts w:ascii="微软雅黑" w:eastAsia="微软雅黑" w:hAnsi="微软雅黑" w:hint="eastAsia"/>
          <w:sz w:val="24"/>
          <w:szCs w:val="24"/>
        </w:rPr>
        <w:t>，</w:t>
      </w:r>
      <w:r w:rsidRPr="00F10D92">
        <w:rPr>
          <w:rFonts w:ascii="微软雅黑" w:eastAsia="微软雅黑" w:hAnsi="微软雅黑"/>
          <w:sz w:val="24"/>
          <w:szCs w:val="24"/>
        </w:rPr>
        <w:t>一般在实际损失范围内确定补偿数额；行政许可属于行政许可法第十二条第</w:t>
      </w:r>
      <w:r w:rsidRPr="00F10D92">
        <w:rPr>
          <w:rFonts w:ascii="微软雅黑" w:eastAsia="微软雅黑" w:hAnsi="微软雅黑" w:hint="eastAsia"/>
          <w:sz w:val="24"/>
          <w:szCs w:val="24"/>
        </w:rPr>
        <w:t>（</w:t>
      </w:r>
      <w:r w:rsidRPr="00F10D92">
        <w:rPr>
          <w:rFonts w:ascii="微软雅黑" w:eastAsia="微软雅黑" w:hAnsi="微软雅黑"/>
          <w:sz w:val="24"/>
          <w:szCs w:val="24"/>
        </w:rPr>
        <w:t>二</w:t>
      </w:r>
      <w:r w:rsidRPr="00F10D92">
        <w:rPr>
          <w:rFonts w:ascii="微软雅黑" w:eastAsia="微软雅黑" w:hAnsi="微软雅黑" w:hint="eastAsia"/>
          <w:sz w:val="24"/>
          <w:szCs w:val="24"/>
        </w:rPr>
        <w:t>）</w:t>
      </w:r>
      <w:r w:rsidRPr="00F10D92">
        <w:rPr>
          <w:rFonts w:ascii="微软雅黑" w:eastAsia="微软雅黑" w:hAnsi="微软雅黑"/>
          <w:sz w:val="24"/>
          <w:szCs w:val="24"/>
        </w:rPr>
        <w:t>项规定情形的</w:t>
      </w:r>
      <w:r w:rsidRPr="00F10D92">
        <w:rPr>
          <w:rFonts w:ascii="微软雅黑" w:eastAsia="微软雅黑" w:hAnsi="微软雅黑" w:hint="eastAsia"/>
          <w:sz w:val="24"/>
          <w:szCs w:val="24"/>
        </w:rPr>
        <w:t>，</w:t>
      </w:r>
      <w:r w:rsidRPr="00F10D92">
        <w:rPr>
          <w:rFonts w:ascii="微软雅黑" w:eastAsia="微软雅黑" w:hAnsi="微软雅黑"/>
          <w:sz w:val="24"/>
          <w:szCs w:val="24"/>
        </w:rPr>
        <w:t>一般按照实际投入的损失确定补偿数额。</w:t>
      </w:r>
    </w:p>
    <w:p w:rsidR="00C504EF" w:rsidRPr="00F10D92" w:rsidRDefault="00102F07" w:rsidP="00162FF3">
      <w:pPr>
        <w:pStyle w:val="ab"/>
        <w:spacing w:line="400" w:lineRule="exact"/>
        <w:ind w:firstLine="480"/>
        <w:rPr>
          <w:rStyle w:val="af7"/>
          <w:rFonts w:ascii="微软雅黑" w:eastAsia="微软雅黑" w:hAnsi="微软雅黑"/>
          <w:sz w:val="24"/>
          <w:szCs w:val="24"/>
        </w:rPr>
      </w:pPr>
      <w:r w:rsidRPr="0024023D">
        <w:rPr>
          <w:rStyle w:val="af7"/>
          <w:rFonts w:ascii="微软雅黑" w:eastAsia="微软雅黑" w:hAnsi="微软雅黑"/>
          <w:b/>
          <w:bCs/>
          <w:sz w:val="24"/>
          <w:szCs w:val="24"/>
        </w:rPr>
        <w:t>第十六条</w:t>
      </w:r>
      <w:r w:rsidRPr="00F10D92">
        <w:rPr>
          <w:rFonts w:ascii="微软雅黑" w:eastAsia="微软雅黑" w:hAnsi="微软雅黑"/>
          <w:sz w:val="24"/>
          <w:szCs w:val="24"/>
        </w:rPr>
        <w:t xml:space="preserve">　行政许可补偿案件的调解</w:t>
      </w:r>
      <w:r w:rsidRPr="00F10D92">
        <w:rPr>
          <w:rFonts w:ascii="微软雅黑" w:eastAsia="微软雅黑" w:hAnsi="微软雅黑" w:hint="eastAsia"/>
          <w:sz w:val="24"/>
          <w:szCs w:val="24"/>
        </w:rPr>
        <w:t>，</w:t>
      </w:r>
      <w:r w:rsidRPr="00F10D92">
        <w:rPr>
          <w:rFonts w:ascii="微软雅黑" w:eastAsia="微软雅黑" w:hAnsi="微软雅黑"/>
          <w:sz w:val="24"/>
          <w:szCs w:val="24"/>
        </w:rPr>
        <w:t>参照最高人民法院《关于审理行政赔偿案件若干问题的规定》的有关规定办理。</w:t>
      </w:r>
    </w:p>
    <w:p w:rsidR="00C504EF" w:rsidRPr="00F10D92" w:rsidRDefault="00102F07" w:rsidP="00162FF3">
      <w:pPr>
        <w:pStyle w:val="ab"/>
        <w:spacing w:line="400" w:lineRule="exact"/>
        <w:ind w:firstLine="480"/>
        <w:rPr>
          <w:rFonts w:ascii="微软雅黑" w:eastAsia="微软雅黑" w:hAnsi="微软雅黑"/>
          <w:sz w:val="24"/>
          <w:szCs w:val="24"/>
        </w:rPr>
      </w:pPr>
      <w:r w:rsidRPr="0024023D">
        <w:rPr>
          <w:rStyle w:val="af7"/>
          <w:rFonts w:ascii="微软雅黑" w:eastAsia="微软雅黑" w:hAnsi="微软雅黑"/>
          <w:b/>
          <w:bCs/>
          <w:sz w:val="24"/>
          <w:szCs w:val="24"/>
        </w:rPr>
        <w:t>第十七条</w:t>
      </w:r>
      <w:r w:rsidRPr="00F10D92">
        <w:rPr>
          <w:rFonts w:ascii="微软雅黑" w:eastAsia="微软雅黑" w:hAnsi="微软雅黑"/>
          <w:sz w:val="24"/>
          <w:szCs w:val="24"/>
        </w:rPr>
        <w:t xml:space="preserve">　最高人民法院以前所作的司法解释凡与本规定不一致的</w:t>
      </w:r>
      <w:r w:rsidRPr="00F10D92">
        <w:rPr>
          <w:rFonts w:ascii="微软雅黑" w:eastAsia="微软雅黑" w:hAnsi="微软雅黑" w:hint="eastAsia"/>
          <w:sz w:val="24"/>
          <w:szCs w:val="24"/>
        </w:rPr>
        <w:t>，</w:t>
      </w:r>
      <w:r w:rsidRPr="00F10D92">
        <w:rPr>
          <w:rFonts w:ascii="微软雅黑" w:eastAsia="微软雅黑" w:hAnsi="微软雅黑"/>
          <w:sz w:val="24"/>
          <w:szCs w:val="24"/>
        </w:rPr>
        <w:t>按本规定执行。</w:t>
      </w:r>
    </w:p>
    <w:sectPr w:rsidR="00C504EF" w:rsidRPr="00F10D92" w:rsidSect="00F10D9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D08" w:rsidRDefault="00635D08">
      <w:r>
        <w:separator/>
      </w:r>
    </w:p>
  </w:endnote>
  <w:endnote w:type="continuationSeparator" w:id="0">
    <w:p w:rsidR="00635D08" w:rsidRDefault="0063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4EF" w:rsidRDefault="00102F0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504EF" w:rsidRDefault="00102F07">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504EF" w:rsidRDefault="00102F07">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04EF" w:rsidRDefault="00102F07">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5886450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504EF" w:rsidRDefault="00102F07">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4tZaL3gAAAAsBAAAPAAAAZHJzL2Rvd25yZXYu&#10;eG1sTI+7TsNAEEV7JP5hNUh0yTrmkcR4HEGEKSMRU6Tc2INt2Ie1u3HM3zOpoJrX1Z1z881ktBjJ&#10;h95ZhMU8AUG2dk1vW4SPqpytQISobKO0s4TwQwE2xfVVrrLGne07jfvYCjaxIVMIXYxDJmWoOzIq&#10;zN1Alm+fzhsVefStbLw6s7nRMk2SR2lUb/lDpwbadlR/708GYVtWlR8peH2gt/Lua/dyT68T4u3N&#10;9PwEItIU/8RwwWd0KJjp6E62CUIjrNMlZ4kIszXXiyBdPHB3REi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LWWi94AAAALAQAADwAAAAAAAAAAAAAAAAC8BAAAZHJz&#10;L2Rvd25yZXYueG1sUEsFBgAAAAAEAAQA8wAAAMcFAAAAAA==&#10;" filled="f" stroked="f" strokeweight=".5pt">
              <v:textbox style="mso-fit-shape-to-text:t" inset="0,0,0,0">
                <w:txbxContent>
                  <w:p w:rsidR="00C504EF" w:rsidRDefault="00102F07">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D08" w:rsidRDefault="00635D08">
      <w:r>
        <w:separator/>
      </w:r>
    </w:p>
  </w:footnote>
  <w:footnote w:type="continuationSeparator" w:id="0">
    <w:p w:rsidR="00635D08" w:rsidRDefault="00635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C7A6255"/>
    <w:rsid w:val="00102F07"/>
    <w:rsid w:val="00162FF3"/>
    <w:rsid w:val="0024023D"/>
    <w:rsid w:val="00323D76"/>
    <w:rsid w:val="00635D08"/>
    <w:rsid w:val="00C504EF"/>
    <w:rsid w:val="00F10D92"/>
    <w:rsid w:val="02380A4E"/>
    <w:rsid w:val="02C54CFB"/>
    <w:rsid w:val="042F174E"/>
    <w:rsid w:val="0751543E"/>
    <w:rsid w:val="0BE369DE"/>
    <w:rsid w:val="0F9D48A9"/>
    <w:rsid w:val="0FC66F39"/>
    <w:rsid w:val="135B4974"/>
    <w:rsid w:val="159652B8"/>
    <w:rsid w:val="19EF53F7"/>
    <w:rsid w:val="1C547AC8"/>
    <w:rsid w:val="20194FCD"/>
    <w:rsid w:val="211007F7"/>
    <w:rsid w:val="224D5C1E"/>
    <w:rsid w:val="25B54994"/>
    <w:rsid w:val="28B53323"/>
    <w:rsid w:val="2A483D38"/>
    <w:rsid w:val="2A844039"/>
    <w:rsid w:val="2C7A6255"/>
    <w:rsid w:val="2CFE6EE4"/>
    <w:rsid w:val="2D725F92"/>
    <w:rsid w:val="302E782D"/>
    <w:rsid w:val="325C564C"/>
    <w:rsid w:val="36AE6775"/>
    <w:rsid w:val="38787F7C"/>
    <w:rsid w:val="39191BFA"/>
    <w:rsid w:val="3D717517"/>
    <w:rsid w:val="3FBC61B7"/>
    <w:rsid w:val="4AEF215E"/>
    <w:rsid w:val="4DA15956"/>
    <w:rsid w:val="4E5609A4"/>
    <w:rsid w:val="4E7D2A86"/>
    <w:rsid w:val="501B3EB2"/>
    <w:rsid w:val="5027117E"/>
    <w:rsid w:val="56C00D65"/>
    <w:rsid w:val="5D847EC2"/>
    <w:rsid w:val="65586BE5"/>
    <w:rsid w:val="6B361F7A"/>
    <w:rsid w:val="6D800228"/>
    <w:rsid w:val="6DAD6BF0"/>
    <w:rsid w:val="6E1B4105"/>
    <w:rsid w:val="6EB66F23"/>
    <w:rsid w:val="75FA67F7"/>
    <w:rsid w:val="7D165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EED57E-2805-4D81-B4D8-F28EA8A0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cp:lastPrinted>2025-11-26T08:58:00Z</cp:lastPrinted>
  <dcterms:created xsi:type="dcterms:W3CDTF">2017-11-02T10:18:00Z</dcterms:created>
  <dcterms:modified xsi:type="dcterms:W3CDTF">2025-11-26T08:58:00Z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